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right" w:pos="9360" w:leader="none"/>
          <w:tab w:val="right" w:pos="9900" w:leader="none"/>
        </w:tabs>
        <w:rPr>
          <w:rFonts w:ascii="Aptos" w:hAnsi="Aptos"/>
        </w:rPr>
      </w:pPr>
      <w:r>
        <w:rPr>
          <w:rFonts w:eastAsia="Calibri" w:cs="Calibri" w:ascii="Aptos" w:hAnsi="Aptos"/>
          <w:b/>
          <w:smallCaps/>
          <w:sz w:val="48"/>
          <w:szCs w:val="48"/>
        </w:rPr>
        <w:t>Matthew Pollock</w:t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jc w:val="center"/>
        <w:rPr/>
      </w:pPr>
      <w:r>
        <w:rPr>
          <w:rFonts w:eastAsia="Calibri" w:cs="Calibri" w:ascii="Aptos" w:hAnsi="Aptos"/>
          <w:sz w:val="20"/>
          <w:szCs w:val="20"/>
          <w:lang w:val="en-GB" w:eastAsia="en-GB" w:bidi="ar-SA"/>
        </w:rPr>
        <w:t xml:space="preserve">matt.pollock@outlook.com | +447751720891 | </w:t>
      </w:r>
      <w:hyperlink r:id="rId2">
        <w:r>
          <w:rPr>
            <w:rStyle w:val="Hyperlink"/>
            <w:rFonts w:eastAsia="Calibri" w:cs="Calibri" w:ascii="Aptos" w:hAnsi="Aptos"/>
            <w:sz w:val="20"/>
            <w:szCs w:val="20"/>
            <w:lang w:val="en-GB" w:eastAsia="en-GB" w:bidi="ar-SA"/>
          </w:rPr>
          <w:t>http://uk.linkedin.com/pub/matthew-pollock/20/319/768</w:t>
        </w:r>
      </w:hyperlink>
      <w:r>
        <w:rPr>
          <w:rFonts w:eastAsia="Calibri" w:cs="Calibri" w:ascii="Aptos" w:hAnsi="Aptos"/>
          <w:sz w:val="20"/>
          <w:szCs w:val="20"/>
          <w:lang w:val="en-GB" w:eastAsia="en-GB" w:bidi="ar-SA"/>
        </w:rPr>
        <w:t xml:space="preserve"> | </w:t>
      </w:r>
      <w:hyperlink r:id="rId3">
        <w:r>
          <w:rPr>
            <w:rStyle w:val="Hyperlink"/>
            <w:rFonts w:eastAsia="Calibri" w:cs="Calibri" w:ascii="Aptos" w:hAnsi="Aptos"/>
            <w:sz w:val="20"/>
            <w:szCs w:val="20"/>
            <w:lang w:val="en-GB" w:eastAsia="en-GB" w:bidi="ar-SA"/>
          </w:rPr>
          <w:t>https://blog.pollockweb.com</w:t>
        </w:r>
      </w:hyperlink>
      <w:r>
        <w:rPr>
          <w:rFonts w:eastAsia="Calibri" w:cs="Calibri" w:ascii="Aptos" w:hAnsi="Aptos"/>
          <w:sz w:val="20"/>
          <w:szCs w:val="20"/>
          <w:lang w:val="en-GB" w:eastAsia="en-GB" w:bidi="ar-SA"/>
        </w:rPr>
        <w:t xml:space="preserve"> | Kingsbury, Tamworth, Staffs, B78 2NH</w:t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rPr>
          <w:rFonts w:ascii="Aptos" w:hAnsi="Aptos" w:eastAsia="Calibri" w:cs="Calibri"/>
          <w:sz w:val="20"/>
          <w:szCs w:val="20"/>
          <w:lang w:val="en-GB" w:eastAsia="en-GB" w:bidi="ar-SA"/>
        </w:rPr>
      </w:pPr>
      <w:r>
        <w:rPr>
          <w:rFonts w:eastAsia="Calibri" w:cs="Calibri" w:ascii="Aptos" w:hAnsi="Aptos"/>
          <w:sz w:val="20"/>
          <w:szCs w:val="20"/>
          <w:lang w:val="en-GB" w:eastAsia="en-GB" w:bidi="ar-SA"/>
        </w:rPr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jc w:val="center"/>
        <w:rPr>
          <w:rFonts w:ascii="Aptos" w:hAnsi="Aptos"/>
        </w:rPr>
      </w:pPr>
      <w:r>
        <w:rPr>
          <w:rFonts w:eastAsia="Calibri" w:cs="Calibri" w:ascii="Aptos" w:hAnsi="Aptos"/>
          <w:b/>
          <w:bCs/>
          <w:sz w:val="20"/>
          <w:szCs w:val="20"/>
          <w:lang w:val="en-GB" w:eastAsia="en-GB" w:bidi="ar-SA"/>
        </w:rPr>
        <w:t>IT Infrastructure Lead | IT Cloud Engineer | IT Manager</w:t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spacing w:lineRule="auto" w:line="240"/>
        <w:jc w:val="center"/>
        <w:rPr>
          <w:rFonts w:ascii="Aptos" w:hAnsi="Aptos" w:eastAsia="Calibri" w:cs="Calibri"/>
          <w:sz w:val="20"/>
          <w:szCs w:val="20"/>
          <w:lang w:val="en-GB" w:eastAsia="en-GB" w:bidi="ar-SA"/>
        </w:rPr>
      </w:pPr>
      <w:r>
        <w:rPr>
          <w:rFonts w:eastAsia="Calibri" w:cs="Calibri" w:ascii="Aptos" w:hAnsi="Aptos"/>
          <w:sz w:val="20"/>
          <w:szCs w:val="20"/>
          <w:lang w:val="en-GB" w:eastAsia="en-GB" w:bidi="ar-SA"/>
        </w:rPr>
      </w:r>
    </w:p>
    <w:p>
      <w:pPr>
        <w:pStyle w:val="Normal"/>
        <w:jc w:val="center"/>
        <w:rPr>
          <w:rFonts w:ascii="Aptos" w:hAnsi="Aptos" w:eastAsia="Calibri" w:cs="Calibri"/>
          <w:color w:val="262626"/>
          <w:sz w:val="6"/>
          <w:szCs w:val="6"/>
        </w:rPr>
      </w:pPr>
      <w:r>
        <w:rPr>
          <w:rFonts w:eastAsia="Calibri" w:cs="Calibri" w:ascii="Aptos" w:hAnsi="Aptos"/>
          <w:color w:val="262626"/>
          <w:sz w:val="6"/>
          <w:szCs w:val="6"/>
        </w:rPr>
      </w:r>
    </w:p>
    <w:tbl>
      <w:tblPr>
        <w:tblStyle w:val="a"/>
        <w:tblW w:w="9405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05"/>
      </w:tblGrid>
      <w:tr>
        <w:trPr>
          <w:trHeight w:val="20" w:hRule="atLeast"/>
        </w:trPr>
        <w:tc>
          <w:tcPr>
            <w:tcW w:w="9405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jc w:val="start"/>
              <w:rPr>
                <w:rFonts w:ascii="Aptos" w:hAnsi="Aptos"/>
              </w:rPr>
            </w:pPr>
            <w:r>
              <w:rPr>
                <w:rFonts w:eastAsia="Calibri" w:cs="Calibri" w:ascii="Aptos" w:hAnsi="Aptos"/>
                <w:b/>
              </w:rPr>
              <w:t>PROFILE</w:t>
            </w:r>
          </w:p>
        </w:tc>
      </w:tr>
    </w:tbl>
    <w:p>
      <w:pPr>
        <w:pStyle w:val="Normal"/>
        <w:spacing w:lineRule="auto" w:line="240"/>
        <w:jc w:val="center"/>
        <w:rPr>
          <w:rFonts w:ascii="Aptos" w:hAnsi="Aptos" w:eastAsia="Calibri" w:cs="Calibri"/>
          <w:sz w:val="6"/>
          <w:szCs w:val="6"/>
        </w:rPr>
      </w:pPr>
      <w:r>
        <w:rPr>
          <w:rFonts w:eastAsia="Calibri" w:cs="Calibri" w:ascii="Aptos" w:hAnsi="Aptos"/>
          <w:sz w:val="6"/>
          <w:szCs w:val="6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</w:r>
    </w:p>
    <w:p>
      <w:pPr>
        <w:pStyle w:val="Normal"/>
        <w:jc w:val="start"/>
        <w:rPr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  <w:t xml:space="preserve">Experienced Senior </w:t>
      </w:r>
      <w:r>
        <w:rPr>
          <w:rFonts w:eastAsia="Calibri" w:cs="Calibri" w:ascii="Aptos" w:hAnsi="Aptos"/>
          <w:sz w:val="20"/>
          <w:szCs w:val="20"/>
          <w:lang w:val="en-GB"/>
        </w:rPr>
        <w:t xml:space="preserve">Cloud &amp; </w:t>
      </w:r>
      <w:r>
        <w:rPr>
          <w:rFonts w:eastAsia="Calibri" w:cs="Calibri" w:ascii="Aptos" w:hAnsi="Aptos"/>
          <w:sz w:val="20"/>
          <w:szCs w:val="20"/>
          <w:lang w:val="en-GB"/>
        </w:rPr>
        <w:t>Infrastructure Engineer with 20+ years in migrations, system optimization, and security. Skilled in Azure and AWS, I lead cloud transitions from on-premises to cloud platforms, enhancing scalability and cutting costs.</w:t>
        <w:br/>
        <w:t>I specialize in designing, building, and administering secure cloud solutions, ensuring cost-effective, reliable, and scalable environments that improve security and efficiency.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</w:r>
    </w:p>
    <w:tbl>
      <w:tblPr>
        <w:tblStyle w:val="a0"/>
        <w:tblW w:w="9404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04"/>
      </w:tblGrid>
      <w:tr>
        <w:trPr>
          <w:trHeight w:val="495" w:hRule="atLeast"/>
        </w:trPr>
        <w:tc>
          <w:tcPr>
            <w:tcW w:w="9404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jc w:val="start"/>
              <w:rPr>
                <w:rFonts w:ascii="Aptos" w:hAnsi="Aptos"/>
              </w:rPr>
            </w:pPr>
            <w:r>
              <w:rPr>
                <w:rFonts w:eastAsia="Calibri" w:cs="Calibri" w:ascii="Aptos" w:hAnsi="Aptos"/>
                <w:b/>
              </w:rPr>
              <w:t xml:space="preserve">WORK </w:t>
            </w:r>
            <w:bookmarkStart w:id="0" w:name="_Hlk154752763"/>
            <w:bookmarkEnd w:id="0"/>
            <w:r>
              <w:rPr>
                <w:rFonts w:eastAsia="Calibri" w:cs="Calibri" w:ascii="Aptos" w:hAnsi="Aptos"/>
                <w:b/>
              </w:rPr>
              <w:t>EXPERIENCE</w:t>
            </w:r>
          </w:p>
        </w:tc>
      </w:tr>
    </w:tbl>
    <w:p>
      <w:pPr>
        <w:pStyle w:val="Normal"/>
        <w:spacing w:lineRule="auto" w:line="240"/>
        <w:jc w:val="center"/>
        <w:rPr>
          <w:rFonts w:ascii="Aptos" w:hAnsi="Aptos" w:eastAsia="Calibri" w:cs="Calibri"/>
          <w:color w:val="262626"/>
          <w:sz w:val="6"/>
          <w:szCs w:val="6"/>
        </w:rPr>
      </w:pPr>
      <w:r>
        <w:rPr>
          <w:rFonts w:eastAsia="Calibri" w:cs="Calibri" w:ascii="Aptos" w:hAnsi="Aptos"/>
          <w:color w:val="262626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 w:eastAsia="Calibri" w:cs="Calibri"/>
          <w:b/>
          <w:bCs/>
          <w:lang w:val="en-GB"/>
        </w:rPr>
      </w:pPr>
      <w:r>
        <w:rPr>
          <w:rFonts w:eastAsia="Calibri" w:cs="Calibri" w:ascii="Aptos" w:hAnsi="Aptos"/>
          <w:b/>
          <w:bCs/>
          <w:lang w:val="en-GB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lang w:val="en-GB"/>
        </w:rPr>
        <w:t xml:space="preserve">Cloud &amp; IT Infrastructure Lead: AX Ltd </w:t>
        <w:tab/>
        <w:t xml:space="preserve">(Dec 2024 to Present)        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lang w:val="en-GB"/>
        </w:rPr>
        <w:t xml:space="preserve">                                                               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Cloud Design &amp; Administration</w:t>
      </w:r>
      <w:r>
        <w:rPr>
          <w:rFonts w:eastAsia="Calibri" w:cs="Calibri" w:ascii="Aptos" w:hAnsi="Aptos"/>
          <w:sz w:val="20"/>
          <w:szCs w:val="20"/>
          <w:lang w:val="en-GB"/>
        </w:rPr>
        <w:t>: Technical Lead in Azure and AWS cloud solutions, optimizing performance and cost.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Cost Management &amp; Right-sizing</w:t>
      </w:r>
      <w:r>
        <w:rPr>
          <w:rFonts w:eastAsia="Calibri" w:cs="Calibri" w:ascii="Aptos" w:hAnsi="Aptos"/>
          <w:sz w:val="20"/>
          <w:szCs w:val="20"/>
          <w:lang w:val="en-GB"/>
        </w:rPr>
        <w:t>: Optimize resources for cost savings and performance.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Security &amp; Governance</w:t>
      </w:r>
      <w:r>
        <w:rPr>
          <w:rFonts w:eastAsia="Calibri" w:cs="Calibri" w:ascii="Aptos" w:hAnsi="Aptos"/>
          <w:sz w:val="20"/>
          <w:szCs w:val="20"/>
          <w:lang w:val="en-GB"/>
        </w:rPr>
        <w:t>: Implement security frameworks and governance policies to ensure compliance.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Technical Leadership</w:t>
      </w:r>
      <w:r>
        <w:rPr>
          <w:rFonts w:eastAsia="Calibri" w:cs="Calibri" w:ascii="Aptos" w:hAnsi="Aptos"/>
          <w:sz w:val="20"/>
          <w:szCs w:val="20"/>
          <w:lang w:val="en-GB"/>
        </w:rPr>
        <w:t>: Solve cloud infrastructure issues and oversee BCDR and backups.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Documentation &amp; Automation</w:t>
      </w:r>
      <w:r>
        <w:rPr>
          <w:rFonts w:eastAsia="Calibri" w:cs="Calibri" w:ascii="Aptos" w:hAnsi="Aptos"/>
          <w:sz w:val="20"/>
          <w:szCs w:val="20"/>
          <w:lang w:val="en-GB"/>
        </w:rPr>
        <w:t>: Create technical documentation and automate processes to improve efficiency.</w:t>
      </w:r>
    </w:p>
    <w:p>
      <w:pPr>
        <w:pStyle w:val="Normal"/>
        <w:spacing w:lineRule="auto" w:line="240"/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lang w:val="en-GB"/>
        </w:rPr>
        <w:t xml:space="preserve">IT Infrastructure Manager: AX Ltd </w:t>
        <w:tab/>
        <w:t>(Jan 2017 to Dec 2024)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sz w:val="20"/>
          <w:szCs w:val="20"/>
          <w:lang w:val="en-GB"/>
        </w:rPr>
        <w:t>(</w:t>
      </w:r>
      <w:r>
        <w:rPr>
          <w:rFonts w:eastAsia="Calibri" w:cs="Calibri" w:ascii="Aptos" w:hAnsi="Aptos"/>
          <w:b w:val="false"/>
          <w:bCs w:val="false"/>
          <w:i/>
          <w:iCs/>
          <w:sz w:val="20"/>
          <w:szCs w:val="20"/>
          <w:lang w:val="en-GB"/>
        </w:rPr>
        <w:t xml:space="preserve">concurrent role with </w:t>
      </w:r>
      <w:r>
        <w:rPr>
          <w:rFonts w:eastAsia="Calibri" w:cs="Calibri" w:ascii="Aptos" w:hAnsi="Aptos"/>
          <w:b/>
          <w:bCs/>
          <w:i/>
          <w:iCs/>
          <w:sz w:val="20"/>
          <w:szCs w:val="20"/>
          <w:lang w:val="en-GB"/>
        </w:rPr>
        <w:t>Senior IT Infrastructure Engineer</w:t>
      </w:r>
      <w:r>
        <w:rPr>
          <w:rFonts w:eastAsia="Calibri" w:cs="Calibri" w:ascii="Aptos" w:hAnsi="Aptos"/>
          <w:b/>
          <w:bCs/>
          <w:sz w:val="20"/>
          <w:szCs w:val="20"/>
          <w:lang w:val="en-GB"/>
        </w:rPr>
        <w:t>)</w:t>
      </w:r>
      <w:r>
        <w:rPr>
          <w:rFonts w:eastAsia="Calibri" w:cs="Calibri" w:ascii="Aptos" w:hAnsi="Aptos"/>
          <w:b/>
          <w:bCs/>
          <w:lang w:val="en-GB"/>
        </w:rPr>
        <w:t xml:space="preserve">  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lang w:val="en-GB"/>
        </w:rPr>
        <w:t xml:space="preserve">                                                             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Cloud Migration &amp; Infrastructure Design</w:t>
      </w:r>
      <w:r>
        <w:rPr>
          <w:rFonts w:eastAsia="Calibri" w:cs="Calibri" w:ascii="Aptos" w:hAnsi="Aptos"/>
          <w:sz w:val="20"/>
          <w:szCs w:val="20"/>
          <w:lang w:val="en-GB"/>
        </w:rPr>
        <w:t>: Led Microsoft Azure migration, decommissioning data centres and cutting infrastructure costs by 25% while improving scalability.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Team Leadership &amp; Optimization</w:t>
      </w:r>
      <w:r>
        <w:rPr>
          <w:rFonts w:eastAsia="Calibri" w:cs="Calibri" w:ascii="Aptos" w:hAnsi="Aptos"/>
          <w:sz w:val="20"/>
          <w:szCs w:val="20"/>
          <w:lang w:val="en-GB"/>
        </w:rPr>
        <w:t>: Managed a team of 5 engineers, driving SD-WAN deployment and network modernization, improving network uptime and operational efficiency. Optimized team structure post-cloud migration, shifting from CapEx to OpEx and increasing operational efficiency.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Vendor &amp; Cost Management</w:t>
      </w:r>
      <w:r>
        <w:rPr>
          <w:rFonts w:eastAsia="Calibri" w:cs="Calibri" w:ascii="Aptos" w:hAnsi="Aptos"/>
          <w:sz w:val="20"/>
          <w:szCs w:val="20"/>
          <w:lang w:val="en-GB"/>
        </w:rPr>
        <w:t>: Streamlined vendor relationships and optimized licensing agreements, improving cost efficiency and ensuring compliance.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Disaster Recovery &amp; Incident Management</w:t>
      </w:r>
      <w:r>
        <w:rPr>
          <w:rFonts w:eastAsia="Calibri" w:cs="Calibri" w:ascii="Aptos" w:hAnsi="Aptos"/>
          <w:sz w:val="20"/>
          <w:szCs w:val="20"/>
          <w:lang w:val="en-GB"/>
        </w:rPr>
        <w:t>: Developed and enforced disaster recovery plans, ensuring business continuity and reducing downtime during incidents.</w:t>
      </w:r>
    </w:p>
    <w:p>
      <w:pPr>
        <w:pStyle w:val="Normal"/>
        <w:spacing w:lineRule="auto" w:line="240"/>
        <w:rPr>
          <w:rFonts w:eastAsia="Calibri" w:cs="Calibri"/>
          <w:sz w:val="20"/>
          <w:szCs w:val="20"/>
          <w:lang w:val="en-GB"/>
        </w:rPr>
      </w:pPr>
      <w:r>
        <w:rPr>
          <w:rFonts w:eastAsia="Calibri" w:cs="Calibri"/>
          <w:sz w:val="20"/>
          <w:szCs w:val="20"/>
          <w:lang w:val="en-GB"/>
        </w:rPr>
      </w:r>
    </w:p>
    <w:p>
      <w:pPr>
        <w:pStyle w:val="Normal"/>
        <w:spacing w:lineRule="auto" w:line="240"/>
        <w:rPr>
          <w:rFonts w:eastAsia="Calibri" w:cs="Calibri"/>
          <w:sz w:val="20"/>
          <w:szCs w:val="20"/>
          <w:lang w:val="en-GB"/>
        </w:rPr>
      </w:pPr>
      <w:r>
        <w:rPr>
          <w:rFonts w:eastAsia="Calibri" w:cs="Calibri"/>
          <w:sz w:val="20"/>
          <w:szCs w:val="20"/>
          <w:lang w:val="en-GB"/>
        </w:rPr>
      </w:r>
    </w:p>
    <w:p>
      <w:pPr>
        <w:pStyle w:val="Normal"/>
        <w:spacing w:lineRule="auto" w:line="240"/>
        <w:rPr>
          <w:rFonts w:eastAsia="Calibri" w:cs="Calibri"/>
          <w:sz w:val="20"/>
          <w:szCs w:val="20"/>
          <w:lang w:val="en-GB"/>
        </w:rPr>
      </w:pPr>
      <w:r>
        <w:rPr>
          <w:rFonts w:eastAsia="Calibri" w:cs="Calibri"/>
          <w:sz w:val="20"/>
          <w:szCs w:val="20"/>
          <w:lang w:val="en-GB"/>
        </w:rPr>
      </w:r>
    </w:p>
    <w:p>
      <w:pPr>
        <w:pStyle w:val="Normal"/>
        <w:spacing w:lineRule="auto" w:line="240"/>
        <w:rPr>
          <w:rFonts w:eastAsia="Calibri" w:cs="Calibri"/>
          <w:sz w:val="20"/>
          <w:szCs w:val="20"/>
          <w:lang w:val="en-GB"/>
        </w:rPr>
      </w:pPr>
      <w:r>
        <w:rPr>
          <w:rFonts w:eastAsia="Calibri" w:cs="Calibri"/>
          <w:sz w:val="20"/>
          <w:szCs w:val="20"/>
          <w:lang w:val="en-GB"/>
        </w:rPr>
      </w:r>
    </w:p>
    <w:p>
      <w:pPr>
        <w:pStyle w:val="Normal"/>
        <w:spacing w:lineRule="auto" w:line="240"/>
        <w:rPr>
          <w:rFonts w:eastAsia="Calibri" w:cs="Calibri"/>
          <w:sz w:val="20"/>
          <w:szCs w:val="20"/>
          <w:lang w:val="en-GB"/>
        </w:rPr>
      </w:pPr>
      <w:r>
        <w:rPr>
          <w:rFonts w:eastAsia="Calibri" w:cs="Calibri"/>
          <w:sz w:val="20"/>
          <w:szCs w:val="20"/>
          <w:lang w:val="en-GB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Fonts w:eastAsia="Calibri" w:cs="Calibri"/>
          <w:sz w:val="20"/>
          <w:szCs w:val="20"/>
          <w:lang w:val="en-GB"/>
        </w:rPr>
      </w:pPr>
      <w:r>
        <w:rPr>
          <w:rFonts w:eastAsia="Calibri" w:cs="Calibri"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 w:eastAsia="Calibri" w:cs="Calibri"/>
          <w:b/>
          <w:bCs/>
          <w:lang w:val="en-GB"/>
        </w:rPr>
      </w:pPr>
      <w:r>
        <w:rPr>
          <w:rFonts w:eastAsia="Calibri" w:cs="Calibri" w:ascii="Aptos" w:hAnsi="Aptos"/>
          <w:b/>
          <w:bCs/>
          <w:lang w:val="en-GB"/>
        </w:rPr>
        <w:t xml:space="preserve">Senior IT Infrastructure Engineer: AX Ltd </w:t>
        <w:tab/>
        <w:t xml:space="preserve">(Nov 2011 to Dec 2024) 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                                                           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Exchange Migrations &amp; DC Refreshes</w:t>
      </w:r>
      <w:r>
        <w:rPr>
          <w:rFonts w:eastAsia="Calibri" w:cs="Calibri" w:ascii="Aptos" w:hAnsi="Aptos"/>
          <w:sz w:val="20"/>
          <w:szCs w:val="20"/>
          <w:lang w:val="en-GB"/>
        </w:rPr>
        <w:t>: Led Exchange migrations and domain controller refreshes, improving performance and achieving an 80% reduction in hardware by consolidating systems and optimizing infrastructure.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Identity &amp; Endpoint Security</w:t>
      </w:r>
      <w:r>
        <w:rPr>
          <w:rFonts w:eastAsia="Calibri" w:cs="Calibri" w:ascii="Aptos" w:hAnsi="Aptos"/>
          <w:sz w:val="20"/>
          <w:szCs w:val="20"/>
          <w:lang w:val="en-GB"/>
        </w:rPr>
        <w:t>: Implemented Azure AD, MFA, and Intune, enhancing endpoint security and simplifying device management.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Security Enhancements</w:t>
      </w:r>
      <w:r>
        <w:rPr>
          <w:rFonts w:eastAsia="Calibri" w:cs="Calibri" w:ascii="Aptos" w:hAnsi="Aptos"/>
          <w:sz w:val="20"/>
          <w:szCs w:val="20"/>
          <w:lang w:val="en-GB"/>
        </w:rPr>
        <w:t>: Strengthened Active Directory policies and implemented email hygiene solutions to improve security across the organization.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Monitoring &amp; Automation</w:t>
      </w:r>
      <w:r>
        <w:rPr>
          <w:rFonts w:eastAsia="Calibri" w:cs="Calibri" w:ascii="Aptos" w:hAnsi="Aptos"/>
          <w:sz w:val="20"/>
          <w:szCs w:val="20"/>
          <w:lang w:val="en-GB"/>
        </w:rPr>
        <w:t>: Enhanced system monitoring and automated processes to improve reliability and reduce incident resolution times.</w:t>
      </w:r>
    </w:p>
    <w:p>
      <w:pPr>
        <w:pStyle w:val="BodyText"/>
        <w:widowControl/>
        <w:numPr>
          <w:ilvl w:val="0"/>
          <w:numId w:val="0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ind w:hanging="0" w:start="720"/>
        <w:jc w:val="start"/>
        <w:rPr>
          <w:rFonts w:ascii="Aptos" w:hAnsi="Aptos" w:eastAsia="Calibri" w:cs="Calibri"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</w:r>
    </w:p>
    <w:tbl>
      <w:tblPr>
        <w:tblW w:w="9465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65"/>
      </w:tblGrid>
      <w:tr>
        <w:trPr>
          <w:trHeight w:val="20" w:hRule="atLeast"/>
        </w:trPr>
        <w:tc>
          <w:tcPr>
            <w:tcW w:w="9465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rPr>
                <w:rFonts w:ascii="Aptos" w:hAnsi="Aptos"/>
              </w:rPr>
            </w:pPr>
            <w:r>
              <w:rPr>
                <w:rFonts w:eastAsia="Calibri" w:cs="Calibri" w:ascii="Aptos" w:hAnsi="Aptos"/>
                <w:b/>
              </w:rPr>
              <w:t>SKILLS</w:t>
            </w:r>
          </w:p>
        </w:tc>
      </w:tr>
    </w:tbl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ascii="Aptos" w:hAnsi="Aptos"/>
        </w:rPr>
      </w:r>
    </w:p>
    <w:p>
      <w:pPr>
        <w:pStyle w:val="BodyText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>Cloud Platforms &amp; Services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color w:val="auto"/>
          <w:kern w:val="0"/>
          <w:sz w:val="20"/>
          <w:szCs w:val="20"/>
          <w:lang w:val="en-GB" w:eastAsia="en-GB" w:bidi="ar-SA"/>
        </w:rPr>
        <w:t>Amazon Web Services:</w:t>
      </w:r>
      <w:r>
        <w:rPr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 xml:space="preserve"> EC2, S3, IAM, Lambda, DynamoDB, CloudFormation, CloudWatch, VPC, Route 53, AWS IoT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color w:val="auto"/>
          <w:kern w:val="0"/>
          <w:sz w:val="20"/>
          <w:szCs w:val="20"/>
          <w:lang w:val="en-GB" w:eastAsia="en-GB" w:bidi="ar-SA"/>
        </w:rPr>
        <w:t>Azure:</w:t>
      </w:r>
      <w:r>
        <w:rPr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 xml:space="preserve"> App Services, Azure Site Recovery, Key Vault, Storage Accounts, Virtual Machines, Automation Accounts, Bastion, Azure IoT. 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color w:val="auto"/>
          <w:kern w:val="0"/>
          <w:sz w:val="20"/>
          <w:szCs w:val="20"/>
          <w:lang w:val="en-GB" w:eastAsia="en-GB" w:bidi="ar-SA"/>
        </w:rPr>
        <w:t>Microsoft 365:</w:t>
      </w:r>
      <w:r>
        <w:rPr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 xml:space="preserve"> Exchange Online, Teams, SharePoint, OneDrive, Compliance Center, Graph</w:t>
      </w:r>
    </w:p>
    <w:p>
      <w:pPr>
        <w:pStyle w:val="Normal"/>
        <w:spacing w:lineRule="auto" w:line="240"/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r>
    </w:p>
    <w:p>
      <w:pPr>
        <w:pStyle w:val="BodyText"/>
        <w:widowControl/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/>
        <w:jc w:val="start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 xml:space="preserve">Security &amp; Identity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Amazon Web Services: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 AWS IAM, AWS KMS, Security Groups, NACLs, AWS Config, AWS CloudTrail, AWS Certificate Manager (ACM), AWS Shield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Azure: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 Azure AD, Conditional Access, Defender for Cloud, Defender for Endpoint, Defender for Identity, PIM, MFA, Intune, Zero Trust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color w:val="auto"/>
          <w:kern w:val="0"/>
          <w:sz w:val="20"/>
          <w:szCs w:val="20"/>
          <w:lang w:val="en-GB" w:eastAsia="en-GB" w:bidi="ar-SA"/>
        </w:rPr>
        <w:t>On-Prem:</w:t>
      </w:r>
      <w:r>
        <w:rPr>
          <w:rStyle w:val="Strong"/>
          <w:rFonts w:eastAsia="Calibri" w:cs="Calibri" w:ascii="Aptos" w:hAnsi="Aptos"/>
          <w:b w:val="false"/>
          <w:bCs w:val="false"/>
          <w:color w:val="auto"/>
          <w:kern w:val="0"/>
          <w:sz w:val="20"/>
          <w:szCs w:val="20"/>
          <w:lang w:val="en-GB" w:eastAsia="en-GB" w:bidi="ar-SA"/>
        </w:rPr>
        <w:t xml:space="preserve"> Active Directory, Group Policy, Email Hygiene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r>
    </w:p>
    <w:p>
      <w:pPr>
        <w:pStyle w:val="BodyText"/>
        <w:widowControl/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/>
        <w:jc w:val="start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>Server Infrastructure &amp; Messaging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 xml:space="preserve">Windows Server: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Management (2003-2022).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 xml:space="preserve">Microsoft Exchange: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Migrations, optimization, and performance.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 xml:space="preserve">Mimecast &amp; IIS: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Email security and web hosting.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/>
          <w:color w:val="auto"/>
          <w:kern w:val="0"/>
          <w:sz w:val="20"/>
          <w:szCs w:val="20"/>
          <w:lang w:val="en-GB" w:eastAsia="en-GB" w:bidi="ar-SA"/>
        </w:rPr>
      </w:r>
    </w:p>
    <w:p>
      <w:pPr>
        <w:pStyle w:val="BodyText"/>
        <w:widowControl/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/>
        <w:jc w:val="start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>Networking &amp; Infrastructure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Amazon ​Web ​Services: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​ ​VPC,​ ​Route ​53,​ ​Elastic ​Load ​Balancer ​(​ELB)​,​ ​AWS ​VPN,​ ​AWS ​Direct ​Connect,​ ​Security ​Groups,​ ​NACLs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Azure:​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 ​Application ​Gateway,​ ​Load ​Balancer,​ ​WAF,​ ​NAT ​Gateway,​ ​NSGs,​ ​Azure ​Firewall,​ ​Bastion,​ ​Virtual ​Networks,​ ​VNet ​Peering,​ ​UDRs,​ ​ExpressRoute,​ ​Site-​to-​Site ​VPN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Cross ​Platform:​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 ​DNS,​ ​DHCP,​ ​VPN,​ ​SD-​WAN,​ ​SSL/​TLS,​ ​IPSec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Messaging:​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 ​Exchange ​Server,​ ​Mimecast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Style w:val="Strong"/>
          <w:rFonts w:ascii="Aptos" w:hAnsi="Aptos" w:eastAsia="Calibri" w:cs="Calibri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en-GB" w:eastAsia="en-GB" w:bidi="ar-SA"/>
        </w:rPr>
      </w:pPr>
      <w:r>
        <w:rPr>
          <w:rFonts w:eastAsia="Calibri" w:cs="Calibri" w:ascii="Aptos" w:hAnsi="Aptos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en-GB" w:eastAsia="en-GB" w:bidi="ar-SA"/>
        </w:rPr>
      </w:r>
    </w:p>
    <w:p>
      <w:pPr>
        <w:pStyle w:val="BodyText"/>
        <w:widowControl/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/>
        <w:jc w:val="start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>Automation &amp; DevOps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Amazon Web Services: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AWS CLI, AWS CloudFormation, AWS Systems Manager, AWS CodePipeline, AWS Lambda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Azure: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Azure CLI, Azure DevOps, Azure Automation Accounts, ARM Templates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Cross Platform: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PowerShell, Python, Bash, GitHub Actions, Docker, Kubernetes, Containerization, CI/CD, IaC, Terraform 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Style w:val="Strong"/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</w:r>
    </w:p>
    <w:p>
      <w:pPr>
        <w:pStyle w:val="BodyText"/>
        <w:widowControl/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/>
        <w:jc w:val="start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 xml:space="preserve">Infrastructure Optimization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Amazon Web Services: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AWS CloudWatch, AWS Cost Explorer, AWS Trusted Advisor, AWS CloudTrail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Azure: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Azure Monitor, Azure Cost Management, Azure Advisor, Azure Site Recovery, Azure Backup, Application Insights 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Style w:val="Strong"/>
          <w:rFonts w:ascii="Aptos" w:hAnsi="Aptos" w:eastAsia="Calibri" w:cs="Calibri"/>
          <w:b w:val="false"/>
          <w:bCs w:val="false"/>
          <w:sz w:val="20"/>
          <w:szCs w:val="20"/>
          <w:lang w:val="en-GB"/>
        </w:rPr>
      </w:pPr>
      <w:r>
        <w:rPr>
          <w:rFonts w:eastAsia="Calibri" w:cs="Calibri" w:ascii="Aptos" w:hAnsi="Aptos"/>
          <w:b w:val="false"/>
          <w:bCs w:val="false"/>
          <w:sz w:val="20"/>
          <w:szCs w:val="20"/>
          <w:lang w:val="en-GB"/>
        </w:rPr>
      </w:r>
    </w:p>
    <w:p>
      <w:pPr>
        <w:pStyle w:val="BodyText"/>
        <w:widowControl/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/>
        <w:jc w:val="start"/>
        <w:rPr/>
      </w:pPr>
      <w:r>
        <w:rPr>
          <w:rStyle w:val="Strong"/>
          <w:rFonts w:eastAsia="Calibri" w:cs="Calibri" w:ascii="Aptos" w:hAnsi="Aptos"/>
          <w:color w:val="auto"/>
          <w:kern w:val="0"/>
          <w:sz w:val="20"/>
          <w:szCs w:val="20"/>
          <w:lang w:val="en-GB" w:eastAsia="en-GB" w:bidi="ar-SA"/>
        </w:rPr>
        <w:t>Documentation &amp; Governance</w:t>
      </w:r>
      <w:r>
        <w:rPr>
          <w:rStyle w:val="Strong"/>
          <w:rFonts w:eastAsia="Calibri" w:cs="Calibri" w:ascii="Aptos" w:hAnsi="Aptos"/>
          <w:b w:val="false"/>
          <w:bCs w:val="false"/>
          <w:color w:val="auto"/>
          <w:kern w:val="0"/>
          <w:sz w:val="20"/>
          <w:szCs w:val="20"/>
          <w:lang w:val="en-GB" w:eastAsia="en-GB" w:bidi="ar-SA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Amazon Web Services: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AWS Config, AWS Organizations, AWS Control Tower, AWS Artifact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Azure: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Azure Policy, Azure Blueprints, Azure Compliance Manager, Group Policy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Cross-Platform: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Governance Policies, Compliance Standards, Security Frameworks, Disaster Recovery Plans, Data Loss Prevention, Technical Documentation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Style w:val="Strong"/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</w:r>
    </w:p>
    <w:tbl>
      <w:tblPr>
        <w:tblStyle w:val="a1"/>
        <w:tblW w:w="9404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04"/>
      </w:tblGrid>
      <w:tr>
        <w:trPr>
          <w:trHeight w:val="20" w:hRule="atLeast"/>
        </w:trPr>
        <w:tc>
          <w:tcPr>
            <w:tcW w:w="9404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rPr>
                <w:rFonts w:ascii="Aptos" w:hAnsi="Aptos"/>
              </w:rPr>
            </w:pPr>
            <w:r>
              <w:rPr>
                <w:rFonts w:eastAsia="Calibri" w:cs="Calibri" w:ascii="Aptos" w:hAnsi="Aptos"/>
                <w:b/>
              </w:rPr>
              <w:t>CERTIFICATIONS</w:t>
            </w:r>
          </w:p>
        </w:tc>
      </w:tr>
    </w:tbl>
    <w:p>
      <w:pPr>
        <w:pStyle w:val="Normal"/>
        <w:spacing w:lineRule="auto" w:line="240"/>
        <w:jc w:val="center"/>
        <w:rPr>
          <w:rFonts w:ascii="Aptos" w:hAnsi="Aptos" w:eastAsia="Calibri" w:cs="Calibri"/>
          <w:color w:val="262626"/>
          <w:sz w:val="6"/>
          <w:szCs w:val="6"/>
        </w:rPr>
      </w:pPr>
      <w:r>
        <w:rPr>
          <w:rFonts w:eastAsia="Calibri" w:cs="Calibri" w:ascii="Aptos" w:hAnsi="Aptos"/>
          <w:color w:val="262626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 w:eastAsia="Calibri" w:cs="Calibri"/>
          <w:sz w:val="6"/>
          <w:szCs w:val="6"/>
        </w:rPr>
      </w:pPr>
      <w:r>
        <w:rPr>
          <w:rFonts w:eastAsia="Calibri" w:cs="Calibri" w:ascii="Aptos" w:hAnsi="Aptos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sz w:val="20"/>
          <w:szCs w:val="20"/>
          <w:lang w:val="en-GB"/>
        </w:rPr>
        <w:t>Cloud Technologies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Microsoft Certified: 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Azure DevOps Engineer Expert (AZ-400)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Microsoft Certified: 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Azure Security Engineer Associate (AZ-500)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Microsoft Certified: 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Azure Solutions Architect Expert (AZ-305)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Microsoft Certified: 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Azure Administrator Associate (AZ-104)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AWS Certified: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 Solutions Architect Associate (SAA-C02)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Microsoft Certified: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 Azure Fundamentals (AZ-900)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AWS Certified: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 Cloud Practitioner (CLF-C01)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Style w:val="Strong"/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sz w:val="20"/>
          <w:szCs w:val="20"/>
          <w:lang w:val="en-GB"/>
        </w:rPr>
        <w:t>Microsoft Server Technologies:</w:t>
      </w:r>
      <w:r>
        <w:rPr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 </w:t>
      </w:r>
      <w:r>
        <w:rPr>
          <w:rFonts w:eastAsia="Calibri" w:cs="Calibri" w:ascii="Aptos" w:hAnsi="Aptos"/>
          <w:b/>
          <w:bCs/>
          <w:sz w:val="20"/>
          <w:szCs w:val="20"/>
          <w:lang w:val="en-GB"/>
        </w:rPr>
        <w:t>MCP, MCSA, MCSE, MCTS, MCITP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Microsoft Certified: 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Microsoft Windows Server </w:t>
      </w:r>
      <w:r>
        <w:rPr>
          <w:rStyle w:val="Strong"/>
          <w:rFonts w:eastAsia="Calibri" w:cs="Calibri" w:ascii="Aptos" w:hAnsi="Aptos"/>
          <w:b/>
          <w:bCs/>
          <w:sz w:val="20"/>
          <w:szCs w:val="20"/>
          <w:lang w:val="en-GB"/>
        </w:rPr>
        <w:t>2003/2008/2012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 xml:space="preserve">Microsoft Certified: </w:t>
      </w: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>Microsoft Exchange 2010/2013</w:t>
      </w:r>
    </w:p>
    <w:p>
      <w:pPr>
        <w:pStyle w:val="Normal"/>
        <w:numPr>
          <w:ilvl w:val="0"/>
          <w:numId w:val="0"/>
        </w:numPr>
        <w:spacing w:lineRule="auto" w:line="240"/>
        <w:ind w:hanging="0" w:start="720"/>
        <w:rPr>
          <w:rStyle w:val="Strong"/>
          <w:rFonts w:ascii="Aptos" w:hAnsi="Aptos" w:eastAsia="Calibri" w:cs="Calibri"/>
          <w:sz w:val="20"/>
          <w:szCs w:val="20"/>
          <w:lang w:val="en-GB"/>
        </w:rPr>
      </w:pPr>
      <w:r>
        <w:rPr>
          <w:rFonts w:eastAsia="Calibri" w:cs="Calibri" w:ascii="Aptos" w:hAnsi="Aptos"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rFonts w:ascii="Aptos" w:hAnsi="Aptos"/>
        </w:rPr>
      </w:pPr>
      <w:r>
        <w:rPr>
          <w:rFonts w:eastAsia="Calibri" w:cs="Calibri" w:ascii="Aptos" w:hAnsi="Aptos"/>
          <w:b/>
          <w:bCs/>
          <w:sz w:val="20"/>
          <w:szCs w:val="20"/>
          <w:lang w:val="en-GB"/>
        </w:rPr>
        <w:t>Education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GCSEs: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9 Subjects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Style w:val="Strong"/>
          <w:rFonts w:eastAsia="Calibri" w:cs="Calibri" w:ascii="Aptos" w:hAnsi="Aptos"/>
          <w:sz w:val="20"/>
          <w:szCs w:val="20"/>
          <w:lang w:val="en-GB"/>
        </w:rPr>
        <w:t xml:space="preserve">A Levels: </w:t>
      </w:r>
      <w:r>
        <w:rPr>
          <w:rStyle w:val="Strong"/>
          <w:rFonts w:eastAsia="Calibri" w:cs="Calibri" w:ascii="Aptos" w:hAnsi="Aptos"/>
          <w:b w:val="false"/>
          <w:bCs w:val="false"/>
          <w:sz w:val="20"/>
          <w:szCs w:val="20"/>
          <w:lang w:val="en-GB"/>
        </w:rPr>
        <w:t>2 Subjects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Aptos" w:hAnsi="Aptos"/>
        </w:rPr>
      </w:pPr>
      <w:r>
        <w:rPr>
          <w:rFonts w:ascii="Aptos" w:hAnsi="Aptos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Aptos"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51b1"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06301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301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548da"/>
    <w:pPr>
      <w:spacing w:before="0" w:after="0"/>
      <w:ind w:start="720"/>
      <w:contextualSpacing/>
    </w:pPr>
    <w:rPr/>
  </w:style>
  <w:style w:type="paragraph" w:styleId="Comment">
    <w:name w:val="Comment"/>
    <w:basedOn w:val="Normal"/>
    <w:qFormat/>
    <w:pPr>
      <w:spacing w:before="56" w:after="0"/>
      <w:ind w:start="56" w:end="56"/>
    </w:pPr>
    <w:rPr>
      <w:sz w:val="20"/>
      <w:szCs w:val="20"/>
    </w:rPr>
  </w:style>
  <w:style w:type="paragraph" w:styleId="ListHeading">
    <w:name w:val="List Heading"/>
    <w:basedOn w:val="Normal"/>
    <w:next w:val="ListContents"/>
    <w:qFormat/>
    <w:pPr>
      <w:ind w:start="0"/>
    </w:pPr>
    <w:rPr/>
  </w:style>
  <w:style w:type="paragraph" w:styleId="ListContents">
    <w:name w:val="List Contents"/>
    <w:basedOn w:val="Normal"/>
    <w:qFormat/>
    <w:pPr>
      <w:ind w:start="567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k.linkedin.com/pub/matthew-pollock/20/319/768%20" TargetMode="External"/><Relationship Id="rId3" Type="http://schemas.openxmlformats.org/officeDocument/2006/relationships/hyperlink" Target="https://profile.pollockweb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LibreOffice/24.8.6.2$Windows_X86_64 LibreOffice_project/6d98ba145e9a8a39fc57bcc76981d1fb1316c60c</Application>
  <AppVersion>15.0000</AppVersion>
  <Pages>3</Pages>
  <Words>711</Words>
  <Characters>4676</Characters>
  <CharactersWithSpaces>5885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2023-12-29T14:47:00Z</dcterms:created>
  <dc:creator/>
  <dc:description/>
  <dc:language>en-GB</dc:language>
  <cp:lastModifiedBy/>
  <dcterms:modified xsi:type="dcterms:W3CDTF">2025-05-15T18:59:58Z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